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DB" w:rsidRPr="004A4BCD" w:rsidRDefault="00285FDB" w:rsidP="00285FDB">
      <w:pPr>
        <w:keepNext/>
        <w:shd w:val="clear" w:color="auto" w:fill="FFFFFF" w:themeFill="background1"/>
        <w:spacing w:after="0" w:line="240" w:lineRule="auto"/>
        <w:jc w:val="center"/>
        <w:outlineLvl w:val="0"/>
        <w:rPr>
          <w:rFonts w:ascii="Times New Roman" w:eastAsia="Times New Roman" w:hAnsi="Times New Roman" w:cs="Times New Roman"/>
          <w:b/>
          <w:bCs/>
          <w:iCs/>
          <w:color w:val="000000" w:themeColor="text1"/>
          <w:sz w:val="28"/>
          <w:szCs w:val="28"/>
          <w:lang w:eastAsia="ru-RU"/>
        </w:rPr>
      </w:pPr>
      <w:bookmarkStart w:id="0" w:name="_GoBack"/>
      <w:bookmarkEnd w:id="0"/>
      <w:r w:rsidRPr="004A4BCD">
        <w:rPr>
          <w:rFonts w:ascii="Times New Roman" w:eastAsia="Times New Roman" w:hAnsi="Times New Roman" w:cs="Times New Roman"/>
          <w:b/>
          <w:bCs/>
          <w:iCs/>
          <w:color w:val="000000" w:themeColor="text1"/>
          <w:sz w:val="28"/>
          <w:szCs w:val="28"/>
          <w:lang w:eastAsia="ru-RU"/>
        </w:rPr>
        <w:t xml:space="preserve">Досудебный (внесудебный) порядок обжалования решений и действий (бездействия) Администрации, а также должностных лиц </w:t>
      </w:r>
      <w:bookmarkStart w:id="1" w:name="OLE_LINK1"/>
      <w:r w:rsidRPr="004A4BCD">
        <w:rPr>
          <w:rFonts w:ascii="Times New Roman" w:eastAsia="Times New Roman" w:hAnsi="Times New Roman" w:cs="Times New Roman"/>
          <w:b/>
          <w:bCs/>
          <w:iCs/>
          <w:color w:val="000000" w:themeColor="text1"/>
          <w:sz w:val="28"/>
          <w:szCs w:val="28"/>
          <w:lang w:eastAsia="ru-RU"/>
        </w:rPr>
        <w:t>структурных подразделений</w:t>
      </w:r>
      <w:bookmarkEnd w:id="1"/>
      <w:r w:rsidRPr="004A4BCD">
        <w:rPr>
          <w:rFonts w:ascii="Times New Roman" w:eastAsia="Times New Roman" w:hAnsi="Times New Roman" w:cs="Times New Roman"/>
          <w:b/>
          <w:bCs/>
          <w:iCs/>
          <w:color w:val="000000" w:themeColor="text1"/>
          <w:sz w:val="24"/>
          <w:szCs w:val="24"/>
          <w:lang w:eastAsia="ru-RU"/>
        </w:rPr>
        <w:t xml:space="preserve"> </w:t>
      </w:r>
      <w:r w:rsidRPr="004A4BCD">
        <w:rPr>
          <w:rFonts w:ascii="Times New Roman" w:eastAsia="Times New Roman" w:hAnsi="Times New Roman" w:cs="Times New Roman"/>
          <w:b/>
          <w:bCs/>
          <w:iCs/>
          <w:color w:val="000000" w:themeColor="text1"/>
          <w:sz w:val="28"/>
          <w:szCs w:val="28"/>
          <w:lang w:eastAsia="ru-RU"/>
        </w:rPr>
        <w:t>Администрации</w:t>
      </w:r>
    </w:p>
    <w:p w:rsidR="00285FDB" w:rsidRPr="004A4BCD" w:rsidRDefault="00285FDB" w:rsidP="00285FDB">
      <w:pPr>
        <w:keepNext/>
        <w:shd w:val="clear" w:color="auto" w:fill="FFFFFF" w:themeFill="background1"/>
        <w:spacing w:after="0" w:line="240" w:lineRule="auto"/>
        <w:jc w:val="center"/>
        <w:outlineLvl w:val="0"/>
        <w:rPr>
          <w:rFonts w:ascii="Times New Roman" w:eastAsia="Times New Roman" w:hAnsi="Times New Roman" w:cs="Times New Roman"/>
          <w:b/>
          <w:bCs/>
          <w:iCs/>
          <w:color w:val="000000" w:themeColor="text1"/>
          <w:sz w:val="28"/>
          <w:szCs w:val="28"/>
          <w:lang w:eastAsia="ru-RU"/>
        </w:rPr>
      </w:pPr>
    </w:p>
    <w:p w:rsidR="00285FDB" w:rsidRPr="004A4BCD" w:rsidRDefault="00285FDB" w:rsidP="00285FDB">
      <w:pPr>
        <w:numPr>
          <w:ilvl w:val="0"/>
          <w:numId w:val="5"/>
        </w:numPr>
        <w:shd w:val="clear" w:color="auto" w:fill="FFFFFF" w:themeFill="background1"/>
        <w:spacing w:after="0" w:line="240" w:lineRule="auto"/>
        <w:jc w:val="center"/>
        <w:outlineLvl w:val="1"/>
        <w:rPr>
          <w:rFonts w:ascii="Times New Roman" w:eastAsia="Calibri" w:hAnsi="Times New Roman" w:cs="Times New Roman"/>
          <w:b/>
          <w:color w:val="000000" w:themeColor="text1"/>
          <w:sz w:val="24"/>
          <w:szCs w:val="24"/>
          <w:lang w:eastAsia="ar-SA"/>
        </w:rPr>
      </w:pPr>
      <w:bookmarkStart w:id="2" w:name="_Toc510617021"/>
      <w:bookmarkStart w:id="3" w:name="_Toc465268303"/>
      <w:bookmarkStart w:id="4" w:name="_Toc516677634"/>
      <w:bookmarkStart w:id="5" w:name="_Toc465274173"/>
      <w:bookmarkStart w:id="6" w:name="_Toc465340316"/>
      <w:bookmarkStart w:id="7" w:name="_Toc438376258"/>
      <w:bookmarkStart w:id="8" w:name="_Toc465341757"/>
      <w:bookmarkStart w:id="9" w:name="_Toc438110047"/>
      <w:bookmarkStart w:id="10" w:name="_Toc437973305"/>
      <w:bookmarkStart w:id="11" w:name="_Toc465273790"/>
      <w:bookmarkEnd w:id="2"/>
      <w:bookmarkEnd w:id="3"/>
      <w:bookmarkEnd w:id="4"/>
      <w:bookmarkEnd w:id="5"/>
      <w:bookmarkEnd w:id="6"/>
      <w:bookmarkEnd w:id="7"/>
      <w:bookmarkEnd w:id="8"/>
      <w:bookmarkEnd w:id="9"/>
      <w:bookmarkEnd w:id="10"/>
      <w:bookmarkEnd w:id="11"/>
      <w:r w:rsidRPr="004A4BCD">
        <w:rPr>
          <w:rFonts w:ascii="Times New Roman" w:eastAsia="Calibri" w:hAnsi="Times New Roman" w:cs="Times New Roman"/>
          <w:b/>
          <w:color w:val="000000" w:themeColor="text1"/>
          <w:sz w:val="24"/>
          <w:szCs w:val="24"/>
          <w:lang w:eastAsia="ar-SA"/>
        </w:rPr>
        <w:t xml:space="preserve">Досудебный (внесудебный) порядок обжалования решений и действий (бездействия) Администрации, а также должностных лиц </w:t>
      </w:r>
      <w:r w:rsidRPr="004A4BCD">
        <w:rPr>
          <w:rFonts w:ascii="Times New Roman" w:eastAsia="Calibri" w:hAnsi="Times New Roman" w:cs="Times New Roman"/>
          <w:b/>
          <w:color w:val="000000" w:themeColor="text1"/>
          <w:sz w:val="24"/>
          <w:szCs w:val="24"/>
          <w:lang w:eastAsia="ar-SA"/>
        </w:rPr>
        <w:fldChar w:fldCharType="begin"/>
      </w:r>
      <w:r w:rsidRPr="004A4BCD">
        <w:rPr>
          <w:rFonts w:ascii="Times New Roman" w:eastAsia="Calibri" w:hAnsi="Times New Roman" w:cs="Times New Roman"/>
          <w:b/>
          <w:color w:val="000000" w:themeColor="text1"/>
          <w:sz w:val="24"/>
          <w:szCs w:val="24"/>
          <w:lang w:eastAsia="ar-SA"/>
        </w:rPr>
        <w:instrText xml:space="preserve"> LINK Word.Document.12 "C:\\Users\\vfpalamarchuk\\Desktop\\со старого ПК\\диск д\\ПРЕДПРИНИМАТЕЛЬСТВО\\КОНКУРСЫ\\КОНКУРСЫ Администрация\\2020\\ПОРЯДОК\\ПОРЯДОК финансовой поддержки.docx" OLE_LINK1 \a \r  \* MERGEFORMAT </w:instrText>
      </w:r>
      <w:r w:rsidRPr="004A4BCD">
        <w:rPr>
          <w:rFonts w:ascii="Times New Roman" w:eastAsia="Calibri" w:hAnsi="Times New Roman" w:cs="Times New Roman"/>
          <w:b/>
          <w:color w:val="000000" w:themeColor="text1"/>
          <w:sz w:val="24"/>
          <w:szCs w:val="24"/>
          <w:lang w:eastAsia="ar-SA"/>
        </w:rPr>
        <w:fldChar w:fldCharType="separate"/>
      </w:r>
      <w:r w:rsidRPr="004A4BCD">
        <w:rPr>
          <w:rFonts w:ascii="Times New Roman" w:eastAsia="Calibri" w:hAnsi="Times New Roman" w:cs="Times New Roman"/>
          <w:b/>
          <w:color w:val="000000" w:themeColor="text1"/>
          <w:sz w:val="24"/>
          <w:szCs w:val="24"/>
        </w:rPr>
        <w:t>структурных подразделений</w:t>
      </w:r>
      <w:r w:rsidRPr="004A4BCD">
        <w:rPr>
          <w:rFonts w:ascii="Times New Roman" w:eastAsia="Calibri" w:hAnsi="Times New Roman" w:cs="Times New Roman"/>
          <w:b/>
          <w:color w:val="000000" w:themeColor="text1"/>
          <w:sz w:val="24"/>
          <w:szCs w:val="24"/>
          <w:lang w:eastAsia="ar-SA"/>
        </w:rPr>
        <w:fldChar w:fldCharType="end"/>
      </w:r>
      <w:r w:rsidRPr="004A4BCD">
        <w:rPr>
          <w:rFonts w:ascii="Times New Roman" w:eastAsia="Calibri" w:hAnsi="Times New Roman" w:cs="Times New Roman"/>
          <w:b/>
          <w:color w:val="000000" w:themeColor="text1"/>
          <w:sz w:val="24"/>
          <w:szCs w:val="24"/>
          <w:lang w:eastAsia="ar-SA"/>
        </w:rPr>
        <w:t xml:space="preserve"> Администрации</w:t>
      </w:r>
    </w:p>
    <w:p w:rsidR="00285FDB" w:rsidRPr="004A4BCD" w:rsidRDefault="00285FDB" w:rsidP="00285FDB">
      <w:pPr>
        <w:shd w:val="clear" w:color="auto" w:fill="FFFFFF" w:themeFill="background1"/>
        <w:spacing w:after="0" w:line="240" w:lineRule="auto"/>
        <w:ind w:left="480"/>
        <w:outlineLvl w:val="1"/>
        <w:rPr>
          <w:rFonts w:ascii="Times New Roman" w:eastAsia="Calibri" w:hAnsi="Times New Roman" w:cs="Times New Roman"/>
          <w:b/>
          <w:color w:val="000000" w:themeColor="text1"/>
          <w:sz w:val="24"/>
          <w:szCs w:val="24"/>
          <w:lang w:eastAsia="ar-SA"/>
        </w:rPr>
      </w:pP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 xml:space="preserve">24.1. Заявитель может обратиться с жалобой в следующих случаях: </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8"/>
          <w:szCs w:val="28"/>
        </w:rPr>
      </w:pPr>
      <w:r w:rsidRPr="004A4BCD">
        <w:rPr>
          <w:rFonts w:ascii="Times New Roman" w:eastAsia="Calibri" w:hAnsi="Times New Roman" w:cs="Times New Roman"/>
          <w:color w:val="000000" w:themeColor="text1"/>
          <w:sz w:val="24"/>
          <w:szCs w:val="24"/>
        </w:rPr>
        <w:t>1) нарушение срока регистрации Заявления на предоставление финансовой поддержки;</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 нарушение срока принятия решения о предоставлении финансовой поддержки;</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настоящим Порядком для принятия решения о предоставлении финансовой поддержки;</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8"/>
          <w:szCs w:val="28"/>
        </w:rPr>
      </w:pPr>
      <w:r w:rsidRPr="004A4BCD">
        <w:rPr>
          <w:rFonts w:ascii="Times New Roman" w:eastAsia="Calibri" w:hAnsi="Times New Roman" w:cs="Times New Roman"/>
          <w:color w:val="000000" w:themeColor="text1"/>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«Городской округ Подольск Московской области», настоящим Порядком для принятия решения о предоставлении либо об отказе в предоставлении финансовой поддержки, у Заявителя;</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proofErr w:type="gramStart"/>
      <w:r w:rsidRPr="004A4BCD">
        <w:rPr>
          <w:rFonts w:ascii="Times New Roman" w:eastAsia="Calibri" w:hAnsi="Times New Roman" w:cs="Times New Roman"/>
          <w:color w:val="000000" w:themeColor="text1"/>
          <w:sz w:val="24"/>
          <w:szCs w:val="24"/>
        </w:rPr>
        <w:t>5) отказ в предоставлении финансовой поддержки,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«Городской округ Подольск Московской области», настоящим Порядком;</w:t>
      </w:r>
      <w:proofErr w:type="gramEnd"/>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6) требование с Заявителя при принятии решения о предоставлении финансовой поддержки платы, не предусмотренной нормативными правовыми актами Российской Федерации, нормативными правовыми актами Московской области, нормативными правовыми актами муниципального образования «Городской округ Подольск Московской области», настоящим Порядком;</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proofErr w:type="gramStart"/>
      <w:r w:rsidRPr="004A4BCD">
        <w:rPr>
          <w:rFonts w:ascii="Times New Roman" w:eastAsia="Calibri" w:hAnsi="Times New Roman" w:cs="Times New Roman"/>
          <w:color w:val="000000" w:themeColor="text1"/>
          <w:sz w:val="24"/>
          <w:szCs w:val="24"/>
        </w:rPr>
        <w:t>7) отказ Администрации, должностного лица структурного подразделения Администрации в исправлении допущенных опечаток и ошибок в выданных в результате предоставления финансовой поддержки документах либо нарушение срока таких исправлений;</w:t>
      </w:r>
      <w:proofErr w:type="gramEnd"/>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8) нарушение срока или порядка выдачи документов по результатам предоставления финансовой поддержки, установленного настоящим Порядком;</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proofErr w:type="gramStart"/>
      <w:r w:rsidRPr="004A4BCD">
        <w:rPr>
          <w:rFonts w:ascii="Times New Roman" w:eastAsia="Calibri" w:hAnsi="Times New Roman" w:cs="Times New Roman"/>
          <w:color w:val="000000" w:themeColor="text1"/>
          <w:sz w:val="24"/>
          <w:szCs w:val="24"/>
        </w:rPr>
        <w:t>9) приостановление предоставления финансовой поддержки,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нормативными правовыми актами муниципального образования «Городской округ Подольск Московской области», настоящим Порядком;</w:t>
      </w:r>
      <w:proofErr w:type="gramEnd"/>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10) требование у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финансовой поддержки, либо в предоставлении финансовой поддержки, за исключением случаев:</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lastRenderedPageBreak/>
        <w:t>а) изменение требований нормативных правовых актов, касающихся предоставления финансовой поддержки, после первоначальной подачи Заявления о предоставлении финансовой поддержки;</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б) наличие ошибок в Заявлении на предоставление финансовой поддержки и документах, поданных Заявителем после первоначального отказа в приеме документов, необходимых для предоставления финансовой поддержки, не включенных в представленный ранее комплект документов, необходимых для предоставления финансовой поддержки;</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финансовой поддержки;</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proofErr w:type="gramStart"/>
      <w:r w:rsidRPr="004A4BCD">
        <w:rPr>
          <w:rFonts w:ascii="Times New Roman" w:eastAsia="Calibri" w:hAnsi="Times New Roman" w:cs="Times New Roman"/>
          <w:color w:val="000000" w:themeColor="text1"/>
          <w:sz w:val="24"/>
          <w:szCs w:val="24"/>
        </w:rPr>
        <w:t>г) выявление документально подтвержденного факта (признаков) ошибочного или противоправного действия (бездействия) должностного лица структурного подразделения</w:t>
      </w:r>
      <w:r w:rsidRPr="004A4BCD">
        <w:rPr>
          <w:rFonts w:ascii="Arial" w:eastAsia="Calibri" w:hAnsi="Arial" w:cs="Arial"/>
          <w:color w:val="000000" w:themeColor="text1"/>
          <w:sz w:val="24"/>
          <w:szCs w:val="24"/>
        </w:rPr>
        <w:t xml:space="preserve"> </w:t>
      </w:r>
      <w:r w:rsidRPr="004A4BCD">
        <w:rPr>
          <w:rFonts w:ascii="Times New Roman" w:eastAsia="Calibri" w:hAnsi="Times New Roman" w:cs="Times New Roman"/>
          <w:color w:val="000000" w:themeColor="text1"/>
          <w:sz w:val="24"/>
          <w:szCs w:val="24"/>
        </w:rPr>
        <w:t>Администрации при первоначальном отказе в приеме документов, необходимых для предоставления финансовой поддержки, либо в принятии решения о предоставлении, отказе в предоставлении финансовой поддержки, о чем в письменном виде за подписью уполномоченного должностного лица структурного подразделения</w:t>
      </w:r>
      <w:r w:rsidRPr="004A4BCD">
        <w:rPr>
          <w:rFonts w:ascii="Arial" w:eastAsia="Calibri" w:hAnsi="Arial" w:cs="Arial"/>
          <w:color w:val="000000" w:themeColor="text1"/>
          <w:sz w:val="24"/>
          <w:szCs w:val="24"/>
        </w:rPr>
        <w:t xml:space="preserve"> </w:t>
      </w:r>
      <w:r w:rsidRPr="004A4BCD">
        <w:rPr>
          <w:rFonts w:ascii="Times New Roman" w:eastAsia="Calibri" w:hAnsi="Times New Roman" w:cs="Times New Roman"/>
          <w:color w:val="000000" w:themeColor="text1"/>
          <w:sz w:val="24"/>
          <w:szCs w:val="24"/>
        </w:rPr>
        <w:t>Администрации уведомляется Заявитель, а также приносятся извинения за доставленные неудобства.</w:t>
      </w:r>
      <w:proofErr w:type="gramEnd"/>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 xml:space="preserve">24.2. Жалоба подается в Администрацию в письменной форме на бумажном носителе, в том числе при личном приеме Заявителя, или в электронном виде. </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Жалобу на действия (бездействие) Администрации, а также должностных лиц структурных подразделений</w:t>
      </w:r>
      <w:r w:rsidRPr="004A4BCD">
        <w:rPr>
          <w:rFonts w:ascii="Arial" w:eastAsia="Calibri" w:hAnsi="Arial" w:cs="Arial"/>
          <w:color w:val="000000" w:themeColor="text1"/>
          <w:sz w:val="24"/>
          <w:szCs w:val="24"/>
        </w:rPr>
        <w:t xml:space="preserve"> </w:t>
      </w:r>
      <w:r w:rsidRPr="004A4BCD">
        <w:rPr>
          <w:rFonts w:ascii="Times New Roman" w:eastAsia="Calibri" w:hAnsi="Times New Roman" w:cs="Times New Roman"/>
          <w:color w:val="000000" w:themeColor="text1"/>
          <w:sz w:val="24"/>
          <w:szCs w:val="24"/>
        </w:rPr>
        <w:t>Администрации можно подать Губернатору Московской области в письменной форме, в том числе при личном приеме Заявителя, или в электронном виде.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24.3. Жалоба должна содержать:</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1) наименование Администрации, ФИО должностного лица структурного подразделения</w:t>
      </w:r>
      <w:r w:rsidRPr="004A4BCD">
        <w:rPr>
          <w:rFonts w:ascii="Calibri" w:eastAsia="Calibri" w:hAnsi="Calibri" w:cs="Times New Roman"/>
          <w:color w:val="000000" w:themeColor="text1"/>
          <w:sz w:val="24"/>
          <w:szCs w:val="24"/>
        </w:rPr>
        <w:t xml:space="preserve"> </w:t>
      </w:r>
      <w:r w:rsidRPr="004A4BCD">
        <w:rPr>
          <w:rFonts w:ascii="Times New Roman" w:eastAsia="Calibri" w:hAnsi="Times New Roman" w:cs="Times New Roman"/>
          <w:color w:val="000000" w:themeColor="text1"/>
          <w:sz w:val="24"/>
          <w:szCs w:val="24"/>
        </w:rPr>
        <w:t xml:space="preserve">Администрации, его руководителя, решение и действия (бездействие) которых обжалуются; </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 xml:space="preserve">2) фамилию, имя, отчество (при наличии), сведения о месте жительства Заявителя </w:t>
      </w:r>
      <w:proofErr w:type="gramStart"/>
      <w:r w:rsidRPr="004A4BCD">
        <w:rPr>
          <w:rFonts w:ascii="Times New Roman" w:eastAsia="Calibri" w:hAnsi="Times New Roman" w:cs="Times New Roman"/>
          <w:color w:val="000000" w:themeColor="text1"/>
          <w:sz w:val="24"/>
          <w:szCs w:val="24"/>
        </w:rPr>
        <w:t>–и</w:t>
      </w:r>
      <w:proofErr w:type="gramEnd"/>
      <w:r w:rsidRPr="004A4BCD">
        <w:rPr>
          <w:rFonts w:ascii="Times New Roman" w:eastAsia="Calibri" w:hAnsi="Times New Roman" w:cs="Times New Roman"/>
          <w:color w:val="000000" w:themeColor="text1"/>
          <w:sz w:val="24"/>
          <w:szCs w:val="24"/>
        </w:rPr>
        <w:t xml:space="preserve">ндивидуального предпринимателя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3) сведения об обжалуемых решениях и действиях (бездействии) должностного лица структурного подразделения</w:t>
      </w:r>
      <w:r w:rsidRPr="004A4BCD">
        <w:rPr>
          <w:rFonts w:ascii="Calibri" w:eastAsia="Calibri" w:hAnsi="Calibri" w:cs="Times New Roman"/>
          <w:color w:val="000000" w:themeColor="text1"/>
          <w:sz w:val="24"/>
          <w:szCs w:val="24"/>
        </w:rPr>
        <w:t xml:space="preserve"> </w:t>
      </w:r>
      <w:r w:rsidRPr="004A4BCD">
        <w:rPr>
          <w:rFonts w:ascii="Times New Roman" w:eastAsia="Calibri" w:hAnsi="Times New Roman" w:cs="Times New Roman"/>
          <w:color w:val="000000" w:themeColor="text1"/>
          <w:sz w:val="24"/>
          <w:szCs w:val="24"/>
        </w:rPr>
        <w:t>Администрации,</w:t>
      </w:r>
      <w:r w:rsidRPr="004A4BCD">
        <w:rPr>
          <w:rFonts w:ascii="Calibri" w:eastAsia="Calibri" w:hAnsi="Calibri" w:cs="Times New Roman"/>
          <w:color w:val="000000" w:themeColor="text1"/>
        </w:rPr>
        <w:t xml:space="preserve"> </w:t>
      </w:r>
      <w:r w:rsidRPr="004A4BCD">
        <w:rPr>
          <w:rFonts w:ascii="Times New Roman" w:eastAsia="Calibri" w:hAnsi="Times New Roman" w:cs="Times New Roman"/>
          <w:color w:val="000000" w:themeColor="text1"/>
          <w:sz w:val="24"/>
          <w:szCs w:val="24"/>
        </w:rPr>
        <w:t>участвующего в принятии решения о предоставлении либо об отказе в предоставлении финансовой поддержки;</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4) доводы, на основании которых Заявитель не согласен с решением и действием (бездействием) Администрации, должностного лица структурного подразделения</w:t>
      </w:r>
      <w:r w:rsidRPr="004A4BCD">
        <w:rPr>
          <w:rFonts w:ascii="Calibri" w:eastAsia="Calibri" w:hAnsi="Calibri" w:cs="Times New Roman"/>
          <w:color w:val="000000" w:themeColor="text1"/>
          <w:sz w:val="24"/>
          <w:szCs w:val="24"/>
        </w:rPr>
        <w:t xml:space="preserve"> </w:t>
      </w:r>
      <w:r w:rsidRPr="004A4BCD">
        <w:rPr>
          <w:rFonts w:ascii="Times New Roman" w:eastAsia="Calibri" w:hAnsi="Times New Roman" w:cs="Times New Roman"/>
          <w:color w:val="000000" w:themeColor="text1"/>
          <w:sz w:val="24"/>
          <w:szCs w:val="24"/>
        </w:rPr>
        <w:t>Администрации. Заявителем могут быть представлены документы (при наличии), подтверждающие доводы Заявителя, либо их копии.</w:t>
      </w:r>
    </w:p>
    <w:p w:rsidR="00285FDB" w:rsidRPr="004A4BCD" w:rsidRDefault="00285FDB" w:rsidP="00285FDB">
      <w:pPr>
        <w:spacing w:after="0" w:line="240" w:lineRule="auto"/>
        <w:ind w:firstLine="70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 xml:space="preserve">24.4.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A4BCD">
        <w:rPr>
          <w:rFonts w:ascii="Times New Roman" w:eastAsia="Calibri" w:hAnsi="Times New Roman" w:cs="Times New Roman"/>
          <w:color w:val="000000" w:themeColor="text1"/>
          <w:sz w:val="24"/>
          <w:szCs w:val="24"/>
        </w:rPr>
        <w:t>представлена</w:t>
      </w:r>
      <w:proofErr w:type="gramEnd"/>
      <w:r w:rsidRPr="004A4BCD">
        <w:rPr>
          <w:rFonts w:ascii="Times New Roman" w:eastAsia="Calibri" w:hAnsi="Times New Roman" w:cs="Times New Roman"/>
          <w:color w:val="000000" w:themeColor="text1"/>
          <w:sz w:val="24"/>
          <w:szCs w:val="24"/>
        </w:rPr>
        <w:t>:</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а) оформленная в соответствии с законодательством Российской Федерации доверенность (для физических лиц);</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lastRenderedPageBreak/>
        <w:t>в)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24.5. Прием жалоб в письменной форме на бумажном носителе осуществляется Администрацией по адресам, указанным в Приложении №2 к настоящему Порядку. Время приема жалоб должно совпадать со временем работы Администрации. Жалоба в письменной форме может быть также направлена по почте.</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24.6. В электронном виде жалоба может быть подана Заявителем посредством:</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а) сайта Администрации в сети Интернет;</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б) РПГУ.</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24.7. При подаче жалобы в электронном виде документы, указанные в пункте 24.4 настоящего Порядка, могут быть представлены в форме электронных документов, подписанных простой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24.8.  Жалоба рассматривается Администрацией, предоставляющей финансовую поддержку, порядок предоставления которой был нарушен вследствие решений и действий (бездействия) должностных лиц структурных подразделений</w:t>
      </w:r>
      <w:r w:rsidRPr="004A4BCD">
        <w:rPr>
          <w:rFonts w:ascii="Arial" w:eastAsia="Calibri" w:hAnsi="Arial" w:cs="Arial"/>
          <w:color w:val="000000" w:themeColor="text1"/>
          <w:sz w:val="24"/>
          <w:szCs w:val="24"/>
        </w:rPr>
        <w:t xml:space="preserve"> </w:t>
      </w:r>
      <w:r w:rsidRPr="004A4BCD">
        <w:rPr>
          <w:rFonts w:ascii="Times New Roman" w:eastAsia="Calibri" w:hAnsi="Times New Roman" w:cs="Times New Roman"/>
          <w:color w:val="000000" w:themeColor="text1"/>
          <w:sz w:val="24"/>
          <w:szCs w:val="24"/>
        </w:rPr>
        <w:t>Администрации.</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В случае если обжалуются решения руководителя Администрации либо лица, его замещающего, жалоба подается в вышестоящий орган (в порядке подчиненности), а также Губернатору Московской области и рассматривается ими в порядке, предусмотренном Федеральным законом от 02.05.2006 № 59-ФЗ «О порядке рассмотрения обращений граждан Российской Федерации».</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24.9. В случае если жалоба подана Заявителем в Администрацию, в компетенцию которой не входит принятие решения по жалобе, в течение 7 (Семи) календарных дней со дня регистрации такой жалобы она направляется в уполномоченный на ее рассмотрение орган. При этом Администрация, перенаправившая жалобу в письменной форме, уведомляет Заявителя о переадресации жалобы Заявителя. Срок рассмотрения жалобы исчисляется со дня регистрации такой жалобы в уполномоченном на ее рассмотрение органе.</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24.10. Жалоба, поступившая в Администрацию, подлежит регистрации в течение 3 (Трех) календарных дней с момента ее поступления. Жалоба рассматривается в течение 30 (Тридцати) календарных дней со дня ее регистрации, если более короткие сроки рассмотрения жалобы не установлены Администрацией.</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24.11. По результатам рассмотрения жалобы уполномоченное на ее рассмотрение должностное лицо Администрации принимает одно из следующих решений:</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принятия решения документах;</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 в удовлетворении жалобы отказывается.</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предоставления финансовой поддержки, не позднее 5 (Пяти) рабочих дней со дня принятия решения о предоставлении либо об отказе в предоставлении финансовой поддержки, если иное не установлено законодательством Российской Федерации.</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а также приносятся извинения за доставленные </w:t>
      </w:r>
      <w:proofErr w:type="gramStart"/>
      <w:r w:rsidRPr="004A4BCD">
        <w:rPr>
          <w:rFonts w:ascii="Times New Roman" w:eastAsia="Calibri" w:hAnsi="Times New Roman" w:cs="Times New Roman"/>
          <w:color w:val="000000" w:themeColor="text1"/>
          <w:sz w:val="24"/>
          <w:szCs w:val="24"/>
        </w:rPr>
        <w:lastRenderedPageBreak/>
        <w:t>неудобства</w:t>
      </w:r>
      <w:proofErr w:type="gramEnd"/>
      <w:r w:rsidRPr="004A4BCD">
        <w:rPr>
          <w:rFonts w:ascii="Times New Roman" w:eastAsia="Calibri" w:hAnsi="Times New Roman" w:cs="Times New Roman"/>
          <w:color w:val="000000" w:themeColor="text1"/>
          <w:sz w:val="24"/>
          <w:szCs w:val="24"/>
        </w:rPr>
        <w:t xml:space="preserve"> и указывается информация о дальнейших действиях, которые необходимо совершить Заявителю.</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 xml:space="preserve">В случае признания </w:t>
      </w:r>
      <w:proofErr w:type="gramStart"/>
      <w:r w:rsidRPr="004A4BCD">
        <w:rPr>
          <w:rFonts w:ascii="Times New Roman" w:eastAsia="Calibri" w:hAnsi="Times New Roman" w:cs="Times New Roman"/>
          <w:color w:val="000000" w:themeColor="text1"/>
          <w:sz w:val="24"/>
          <w:szCs w:val="24"/>
        </w:rPr>
        <w:t>жалобы</w:t>
      </w:r>
      <w:proofErr w:type="gramEnd"/>
      <w:r w:rsidRPr="004A4BCD">
        <w:rPr>
          <w:rFonts w:ascii="Times New Roman" w:eastAsia="Calibri" w:hAnsi="Times New Roman" w:cs="Times New Roman"/>
          <w:color w:val="000000" w:themeColor="text1"/>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24.12. В ответе по результатам рассмотрения жалобы указываются:</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proofErr w:type="gramStart"/>
      <w:r w:rsidRPr="004A4BCD">
        <w:rPr>
          <w:rFonts w:ascii="Times New Roman" w:eastAsia="Calibri" w:hAnsi="Times New Roman" w:cs="Times New Roman"/>
          <w:color w:val="000000" w:themeColor="text1"/>
          <w:sz w:val="24"/>
          <w:szCs w:val="24"/>
        </w:rPr>
        <w:t>а) наименование органа, должностного лица органа, рассмотревшего жалобу, должность, фамилия, имя, отчество (при наличии) его должностного лица, принявшего решение по жалобе;</w:t>
      </w:r>
      <w:proofErr w:type="gramEnd"/>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bookmarkStart w:id="12" w:name="Par496"/>
      <w:bookmarkEnd w:id="12"/>
      <w:r w:rsidRPr="004A4BCD">
        <w:rPr>
          <w:rFonts w:ascii="Times New Roman" w:eastAsia="Calibri" w:hAnsi="Times New Roman" w:cs="Times New Roman"/>
          <w:color w:val="000000" w:themeColor="text1"/>
          <w:sz w:val="24"/>
          <w:szCs w:val="24"/>
        </w:rPr>
        <w:t>в) фамилия, имя, отчество (при наличии) или наименование Заявителя;</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г) основания для принятия решения по жалобе;</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д) принятое по жалобе решение;</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е) в случае, если жалоба признана обоснованной, - сроки устранения выявленных нарушений;</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ж) сведения о порядке обжалования принятого по жалобе решения.</w:t>
      </w:r>
    </w:p>
    <w:p w:rsidR="00285FDB" w:rsidRPr="004A4BCD" w:rsidRDefault="00285FDB" w:rsidP="00285FDB">
      <w:pPr>
        <w:spacing w:after="0" w:line="240" w:lineRule="auto"/>
        <w:ind w:firstLine="540"/>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24.13. Ответ по результатам рассмотрения жалобы подписывается уполномоченным на рассмотрение жалобы должностным лицом Администрации. По желанию Заявителя ответ по результатам рассмотрения жалоб может быть представлен в форме электронного документа, подписанного электронной подписью уполномоченного на рассмотрение жалобы должностного лица Администрации, вид которой установлен законодательством Российской Федерации.</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24.14. Администрация вправе оставить жалобу без ответа в следующих случаях:</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1) наличие в жалобе нецензурных либо оскорбительных выражений, угроз жизни, здоровью и имуществу должностного лица, а также членов его семьи (в этом случае Администрация сообщает гражданину, направившему обращение, о недопустимости злоупотребления правом);</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2) текст жалобы не поддается прочтению (в этом случае Администрация в течение 7 (Семи) дней со дня регистрации жалобы сообщает об этом гражданину, направившему жалобу, если его фамилия и почтовый адрес поддаются прочтению);</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3) текст жалобы не позволяет определить ее суть (в этом случае Администрация в течение 7 (Семи) дней со дня регистрации жалобы сообщает об этом гражданину, направившему жалобу).</w:t>
      </w:r>
    </w:p>
    <w:p w:rsidR="00285FDB" w:rsidRPr="004A4BCD" w:rsidRDefault="00285FDB" w:rsidP="00285FDB">
      <w:pPr>
        <w:spacing w:after="0" w:line="240" w:lineRule="auto"/>
        <w:ind w:firstLine="539"/>
        <w:jc w:val="both"/>
        <w:rPr>
          <w:rFonts w:ascii="Times New Roman" w:eastAsia="Calibri" w:hAnsi="Times New Roman" w:cs="Times New Roman"/>
          <w:color w:val="000000" w:themeColor="text1"/>
          <w:sz w:val="24"/>
          <w:szCs w:val="24"/>
        </w:rPr>
      </w:pPr>
      <w:r w:rsidRPr="004A4BCD">
        <w:rPr>
          <w:rFonts w:ascii="Times New Roman" w:eastAsia="Calibri" w:hAnsi="Times New Roman" w:cs="Times New Roman"/>
          <w:color w:val="000000" w:themeColor="text1"/>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285FDB" w:rsidRPr="004A4BCD" w:rsidRDefault="00285FDB" w:rsidP="00285FDB">
      <w:pPr>
        <w:spacing w:after="0" w:line="240" w:lineRule="auto"/>
        <w:ind w:left="5670"/>
        <w:rPr>
          <w:rFonts w:ascii="Times New Roman" w:eastAsia="Calibri" w:hAnsi="Times New Roman" w:cs="Times New Roman"/>
          <w:color w:val="000000" w:themeColor="text1"/>
          <w:sz w:val="24"/>
          <w:szCs w:val="24"/>
          <w:lang w:eastAsia="ru-RU"/>
        </w:rPr>
      </w:pPr>
      <w:bookmarkStart w:id="13" w:name="_Toc516677635"/>
      <w:bookmarkStart w:id="14" w:name="_Toc510617022"/>
      <w:bookmarkEnd w:id="13"/>
      <w:bookmarkEnd w:id="14"/>
    </w:p>
    <w:p w:rsidR="00F05A0F" w:rsidRDefault="00F05A0F" w:rsidP="00375124">
      <w:pPr>
        <w:jc w:val="both"/>
      </w:pPr>
    </w:p>
    <w:sectPr w:rsidR="00F05A0F" w:rsidSect="00F05A0F">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AF4"/>
    <w:multiLevelType w:val="multilevel"/>
    <w:tmpl w:val="567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35BA1"/>
    <w:multiLevelType w:val="multilevel"/>
    <w:tmpl w:val="DE20196E"/>
    <w:lvl w:ilvl="0">
      <w:start w:val="20"/>
      <w:numFmt w:val="decimal"/>
      <w:lvlText w:val="%1."/>
      <w:lvlJc w:val="left"/>
      <w:pPr>
        <w:ind w:left="480" w:hanging="480"/>
      </w:pPr>
      <w:rPr>
        <w:rFonts w:ascii="Times New Roman" w:hAnsi="Times New Roman" w:hint="default"/>
        <w:sz w:val="24"/>
      </w:rPr>
    </w:lvl>
    <w:lvl w:ilvl="1">
      <w:start w:val="1"/>
      <w:numFmt w:val="decimal"/>
      <w:lvlText w:val="%1.%2."/>
      <w:lvlJc w:val="left"/>
      <w:pPr>
        <w:ind w:left="1190" w:hanging="480"/>
      </w:pPr>
      <w:rPr>
        <w:rFonts w:ascii="Times New Roman" w:hAnsi="Times New Roman" w:hint="default"/>
        <w:sz w:val="24"/>
      </w:rPr>
    </w:lvl>
    <w:lvl w:ilvl="2">
      <w:start w:val="1"/>
      <w:numFmt w:val="decimal"/>
      <w:lvlText w:val="%1.%2.%3."/>
      <w:lvlJc w:val="left"/>
      <w:pPr>
        <w:ind w:left="2140" w:hanging="720"/>
      </w:pPr>
      <w:rPr>
        <w:rFonts w:ascii="Times New Roman" w:hAnsi="Times New Roman" w:hint="default"/>
        <w:sz w:val="24"/>
      </w:rPr>
    </w:lvl>
    <w:lvl w:ilvl="3">
      <w:start w:val="1"/>
      <w:numFmt w:val="decimal"/>
      <w:lvlText w:val="%1.%2.%3.%4."/>
      <w:lvlJc w:val="left"/>
      <w:pPr>
        <w:ind w:left="2850" w:hanging="720"/>
      </w:pPr>
      <w:rPr>
        <w:rFonts w:ascii="Times New Roman" w:hAnsi="Times New Roman" w:hint="default"/>
        <w:sz w:val="24"/>
      </w:rPr>
    </w:lvl>
    <w:lvl w:ilvl="4">
      <w:start w:val="1"/>
      <w:numFmt w:val="decimal"/>
      <w:lvlText w:val="%1.%2.%3.%4.%5."/>
      <w:lvlJc w:val="left"/>
      <w:pPr>
        <w:ind w:left="3920" w:hanging="1080"/>
      </w:pPr>
      <w:rPr>
        <w:rFonts w:ascii="Times New Roman" w:hAnsi="Times New Roman" w:hint="default"/>
        <w:sz w:val="24"/>
      </w:rPr>
    </w:lvl>
    <w:lvl w:ilvl="5">
      <w:start w:val="1"/>
      <w:numFmt w:val="decimal"/>
      <w:lvlText w:val="%1.%2.%3.%4.%5.%6."/>
      <w:lvlJc w:val="left"/>
      <w:pPr>
        <w:ind w:left="4630" w:hanging="1080"/>
      </w:pPr>
      <w:rPr>
        <w:rFonts w:ascii="Times New Roman" w:hAnsi="Times New Roman" w:hint="default"/>
        <w:sz w:val="24"/>
      </w:rPr>
    </w:lvl>
    <w:lvl w:ilvl="6">
      <w:start w:val="1"/>
      <w:numFmt w:val="decimal"/>
      <w:lvlText w:val="%1.%2.%3.%4.%5.%6.%7."/>
      <w:lvlJc w:val="left"/>
      <w:pPr>
        <w:ind w:left="5700" w:hanging="1440"/>
      </w:pPr>
      <w:rPr>
        <w:rFonts w:ascii="Times New Roman" w:hAnsi="Times New Roman" w:hint="default"/>
        <w:sz w:val="24"/>
      </w:rPr>
    </w:lvl>
    <w:lvl w:ilvl="7">
      <w:start w:val="1"/>
      <w:numFmt w:val="decimal"/>
      <w:lvlText w:val="%1.%2.%3.%4.%5.%6.%7.%8."/>
      <w:lvlJc w:val="left"/>
      <w:pPr>
        <w:ind w:left="6410" w:hanging="1440"/>
      </w:pPr>
      <w:rPr>
        <w:rFonts w:ascii="Times New Roman" w:hAnsi="Times New Roman" w:hint="default"/>
        <w:sz w:val="24"/>
      </w:rPr>
    </w:lvl>
    <w:lvl w:ilvl="8">
      <w:start w:val="1"/>
      <w:numFmt w:val="decimal"/>
      <w:lvlText w:val="%1.%2.%3.%4.%5.%6.%7.%8.%9."/>
      <w:lvlJc w:val="left"/>
      <w:pPr>
        <w:ind w:left="7480" w:hanging="1800"/>
      </w:pPr>
      <w:rPr>
        <w:rFonts w:ascii="Times New Roman" w:hAnsi="Times New Roman" w:hint="default"/>
        <w:sz w:val="24"/>
      </w:rPr>
    </w:lvl>
  </w:abstractNum>
  <w:abstractNum w:abstractNumId="2">
    <w:nsid w:val="43BE0770"/>
    <w:multiLevelType w:val="hybridMultilevel"/>
    <w:tmpl w:val="618493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3FA02D5"/>
    <w:multiLevelType w:val="hybridMultilevel"/>
    <w:tmpl w:val="82B6F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A7D0DBF"/>
    <w:multiLevelType w:val="multilevel"/>
    <w:tmpl w:val="F7D4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E9"/>
    <w:rsid w:val="00011AEC"/>
    <w:rsid w:val="000A5432"/>
    <w:rsid w:val="00231135"/>
    <w:rsid w:val="00285FDB"/>
    <w:rsid w:val="00375124"/>
    <w:rsid w:val="00832BF6"/>
    <w:rsid w:val="009C1F5F"/>
    <w:rsid w:val="009F0589"/>
    <w:rsid w:val="00AA0A35"/>
    <w:rsid w:val="00C322D7"/>
    <w:rsid w:val="00CF02E9"/>
    <w:rsid w:val="00DD29F0"/>
    <w:rsid w:val="00F05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2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A0F"/>
    <w:pPr>
      <w:ind w:left="720"/>
      <w:contextualSpacing/>
    </w:pPr>
  </w:style>
  <w:style w:type="table" w:styleId="a4">
    <w:name w:val="Table Grid"/>
    <w:basedOn w:val="a1"/>
    <w:uiPriority w:val="59"/>
    <w:rsid w:val="00285FDB"/>
    <w:pPr>
      <w:spacing w:after="0" w:line="240" w:lineRule="auto"/>
    </w:pPr>
    <w:rPr>
      <w:rFonts w:ascii="Calibri" w:eastAsia="Calibri" w:hAnsi="Calibri"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2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5A0F"/>
    <w:pPr>
      <w:ind w:left="720"/>
      <w:contextualSpacing/>
    </w:pPr>
  </w:style>
  <w:style w:type="table" w:styleId="a4">
    <w:name w:val="Table Grid"/>
    <w:basedOn w:val="a1"/>
    <w:uiPriority w:val="59"/>
    <w:rsid w:val="00285FDB"/>
    <w:pPr>
      <w:spacing w:after="0" w:line="240" w:lineRule="auto"/>
    </w:pPr>
    <w:rPr>
      <w:rFonts w:ascii="Calibri" w:eastAsia="Calibri" w:hAnsi="Calibri"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1864</Words>
  <Characters>10630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Паламарчук Виктория Филипповна</dc:creator>
  <cp:lastModifiedBy>Паламарчук Виктория Филипповна</cp:lastModifiedBy>
  <cp:revision>2</cp:revision>
  <dcterms:created xsi:type="dcterms:W3CDTF">2020-09-01T12:08:00Z</dcterms:created>
  <dcterms:modified xsi:type="dcterms:W3CDTF">2020-09-01T12:08:00Z</dcterms:modified>
</cp:coreProperties>
</file>